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9E" w:rsidRPr="0078669E" w:rsidRDefault="0078669E" w:rsidP="000E077B">
      <w:pPr>
        <w:jc w:val="center"/>
        <w:rPr>
          <w:b/>
          <w:sz w:val="24"/>
          <w:szCs w:val="24"/>
        </w:rPr>
      </w:pPr>
    </w:p>
    <w:p w:rsidR="00DE4C60" w:rsidRPr="001E1C5C" w:rsidRDefault="00084662" w:rsidP="000E077B">
      <w:pPr>
        <w:jc w:val="center"/>
        <w:rPr>
          <w:sz w:val="24"/>
          <w:szCs w:val="24"/>
        </w:rPr>
      </w:pPr>
      <w:bookmarkStart w:id="0" w:name="_GoBack"/>
      <w:r w:rsidRPr="001E1C5C">
        <w:rPr>
          <w:sz w:val="24"/>
          <w:szCs w:val="24"/>
        </w:rPr>
        <w:t>О мерах безопасности при</w:t>
      </w:r>
      <w:r w:rsidR="00DE4C60" w:rsidRPr="001E1C5C">
        <w:rPr>
          <w:sz w:val="24"/>
          <w:szCs w:val="24"/>
        </w:rPr>
        <w:t xml:space="preserve"> </w:t>
      </w:r>
      <w:r w:rsidR="00FD6F62" w:rsidRPr="001E1C5C">
        <w:rPr>
          <w:sz w:val="24"/>
          <w:szCs w:val="24"/>
        </w:rPr>
        <w:t>эксплуатации транспортных средств непрерывного действия</w:t>
      </w:r>
      <w:bookmarkEnd w:id="0"/>
    </w:p>
    <w:p w:rsidR="00084662" w:rsidRPr="0078669E" w:rsidRDefault="00084662" w:rsidP="000E077B">
      <w:pPr>
        <w:jc w:val="center"/>
        <w:rPr>
          <w:b/>
          <w:sz w:val="24"/>
          <w:szCs w:val="24"/>
        </w:rPr>
      </w:pPr>
    </w:p>
    <w:p w:rsidR="00E724FE" w:rsidRPr="0078669E" w:rsidRDefault="009953BD" w:rsidP="00A0172C">
      <w:pPr>
        <w:tabs>
          <w:tab w:val="left" w:pos="709"/>
        </w:tabs>
        <w:jc w:val="both"/>
        <w:rPr>
          <w:sz w:val="24"/>
          <w:szCs w:val="24"/>
        </w:rPr>
      </w:pPr>
      <w:r w:rsidRPr="0078669E">
        <w:rPr>
          <w:sz w:val="24"/>
          <w:szCs w:val="24"/>
        </w:rPr>
        <w:tab/>
      </w:r>
      <w:r w:rsidR="00E724FE" w:rsidRPr="0078669E">
        <w:rPr>
          <w:sz w:val="24"/>
          <w:szCs w:val="24"/>
        </w:rPr>
        <w:t xml:space="preserve">Требования безопасности при </w:t>
      </w:r>
      <w:r w:rsidR="00FD6F62" w:rsidRPr="0078669E">
        <w:rPr>
          <w:sz w:val="24"/>
          <w:szCs w:val="24"/>
        </w:rPr>
        <w:t xml:space="preserve">эксплуатации транспортных средств непрерывного действия </w:t>
      </w:r>
      <w:r w:rsidR="00F64F9E" w:rsidRPr="0078669E">
        <w:rPr>
          <w:sz w:val="24"/>
          <w:szCs w:val="24"/>
        </w:rPr>
        <w:t xml:space="preserve">определены Межотраслевыми правилами по охране труда при </w:t>
      </w:r>
      <w:r w:rsidR="00FD6F62" w:rsidRPr="0078669E">
        <w:rPr>
          <w:sz w:val="24"/>
          <w:szCs w:val="24"/>
        </w:rPr>
        <w:t xml:space="preserve">эксплуатации конвейерных, трубопроводных и других транспортных средств непрерывного действия, </w:t>
      </w:r>
      <w:r w:rsidR="00F64F9E" w:rsidRPr="0078669E">
        <w:rPr>
          <w:sz w:val="24"/>
          <w:szCs w:val="24"/>
        </w:rPr>
        <w:t xml:space="preserve">утвержденными постановлением Министерства труда и социальной </w:t>
      </w:r>
      <w:r w:rsidR="00FD6F62" w:rsidRPr="0078669E">
        <w:rPr>
          <w:sz w:val="24"/>
          <w:szCs w:val="24"/>
        </w:rPr>
        <w:t>защиты Республики Беларусь от 10.04.2007</w:t>
      </w:r>
      <w:r w:rsidR="00F64F9E" w:rsidRPr="0078669E">
        <w:rPr>
          <w:sz w:val="24"/>
          <w:szCs w:val="24"/>
        </w:rPr>
        <w:t xml:space="preserve"> </w:t>
      </w:r>
      <w:r w:rsidR="00FD6F62" w:rsidRPr="0078669E">
        <w:rPr>
          <w:sz w:val="24"/>
          <w:szCs w:val="24"/>
        </w:rPr>
        <w:t>№ 54</w:t>
      </w:r>
      <w:r w:rsidRPr="0078669E">
        <w:rPr>
          <w:sz w:val="24"/>
          <w:szCs w:val="24"/>
        </w:rPr>
        <w:t>.</w:t>
      </w:r>
      <w:bookmarkStart w:id="1" w:name="Par818"/>
      <w:bookmarkEnd w:id="1"/>
    </w:p>
    <w:p w:rsidR="00427410" w:rsidRPr="0078669E" w:rsidRDefault="00427410" w:rsidP="00A0172C">
      <w:pPr>
        <w:pStyle w:val="justify"/>
        <w:spacing w:after="0"/>
      </w:pPr>
      <w:r w:rsidRPr="0078669E">
        <w:t>Безопасность транспортных средств непрерывного действия обеспечивается:</w:t>
      </w:r>
    </w:p>
    <w:p w:rsidR="00427410" w:rsidRPr="0078669E" w:rsidRDefault="00A0172C" w:rsidP="00A0172C">
      <w:pPr>
        <w:pStyle w:val="justify"/>
        <w:spacing w:after="0"/>
      </w:pPr>
      <w:r w:rsidRPr="0078669E">
        <w:t xml:space="preserve">- </w:t>
      </w:r>
      <w:r w:rsidR="00427410" w:rsidRPr="0078669E">
        <w:t>выбором их типа и конструктивного исполнения, соответствующих условиям применения;</w:t>
      </w:r>
    </w:p>
    <w:p w:rsidR="00427410" w:rsidRPr="0078669E" w:rsidRDefault="00A0172C" w:rsidP="00A0172C">
      <w:pPr>
        <w:pStyle w:val="justify"/>
        <w:spacing w:after="0"/>
      </w:pPr>
      <w:r w:rsidRPr="0078669E">
        <w:t xml:space="preserve">- </w:t>
      </w:r>
      <w:r w:rsidR="00427410" w:rsidRPr="0078669E">
        <w:t>применением средств автоматизации и дистанционного управления, средств защиты;</w:t>
      </w:r>
    </w:p>
    <w:p w:rsidR="00427410" w:rsidRPr="0078669E" w:rsidRDefault="00A0172C" w:rsidP="00A0172C">
      <w:pPr>
        <w:pStyle w:val="justify"/>
        <w:spacing w:after="0"/>
      </w:pPr>
      <w:r w:rsidRPr="0078669E">
        <w:t xml:space="preserve">- </w:t>
      </w:r>
      <w:r w:rsidR="00427410" w:rsidRPr="0078669E">
        <w:t>выполнением эргономических требований;</w:t>
      </w:r>
    </w:p>
    <w:p w:rsidR="00427410" w:rsidRPr="0078669E" w:rsidRDefault="00A0172C" w:rsidP="00A0172C">
      <w:pPr>
        <w:pStyle w:val="justify"/>
        <w:spacing w:after="0"/>
      </w:pPr>
      <w:r w:rsidRPr="0078669E">
        <w:t xml:space="preserve">- </w:t>
      </w:r>
      <w:r w:rsidR="00427410" w:rsidRPr="0078669E">
        <w:t>включением требований безопасности в техническую документацию на их монтаж, эксплуатацию, ремонт, транспортировку и хранение.</w:t>
      </w:r>
    </w:p>
    <w:p w:rsidR="00427410" w:rsidRPr="0078669E" w:rsidRDefault="00427410" w:rsidP="00A0172C">
      <w:pPr>
        <w:pStyle w:val="justify"/>
        <w:spacing w:after="0"/>
      </w:pPr>
      <w:r w:rsidRPr="0078669E">
        <w:t xml:space="preserve">Элементы и детали транспортных средств непрерывного действия не должны иметь </w:t>
      </w:r>
      <w:proofErr w:type="spellStart"/>
      <w:r w:rsidRPr="0078669E">
        <w:t>травмоопасных</w:t>
      </w:r>
      <w:proofErr w:type="spellEnd"/>
      <w:r w:rsidRPr="0078669E">
        <w:t xml:space="preserve"> острых углов, кромок и поверхностей с неровностями, являющихся потенциальным источником опасности.</w:t>
      </w:r>
    </w:p>
    <w:p w:rsidR="00A0172C" w:rsidRPr="0078669E" w:rsidRDefault="00427410" w:rsidP="00A0172C">
      <w:pPr>
        <w:pStyle w:val="justify"/>
        <w:spacing w:after="0"/>
      </w:pPr>
      <w:r w:rsidRPr="0078669E">
        <w:t>Конструкция транспортных средств непрерывного действия должна исключать:</w:t>
      </w:r>
    </w:p>
    <w:p w:rsidR="00427410" w:rsidRPr="0078669E" w:rsidRDefault="00A0172C" w:rsidP="00A0172C">
      <w:pPr>
        <w:pStyle w:val="justify"/>
        <w:spacing w:after="0"/>
        <w:ind w:firstLine="0"/>
      </w:pPr>
      <w:r w:rsidRPr="0078669E">
        <w:tab/>
        <w:t xml:space="preserve">- </w:t>
      </w:r>
      <w:r w:rsidR="00427410" w:rsidRPr="0078669E">
        <w:t>случайное соприкосновение работников с горячими или переохлажденными поверхностями;</w:t>
      </w:r>
    </w:p>
    <w:p w:rsidR="00427410" w:rsidRPr="0078669E" w:rsidRDefault="00427410" w:rsidP="00A0172C">
      <w:pPr>
        <w:pStyle w:val="justify"/>
        <w:numPr>
          <w:ilvl w:val="0"/>
          <w:numId w:val="2"/>
        </w:numPr>
        <w:spacing w:after="0"/>
      </w:pPr>
      <w:r w:rsidRPr="0078669E">
        <w:t>накопление зарядов статического электричества в опасных количествах.</w:t>
      </w:r>
    </w:p>
    <w:p w:rsidR="00427410" w:rsidRPr="0078669E" w:rsidRDefault="00427410" w:rsidP="00A0172C">
      <w:pPr>
        <w:pStyle w:val="justify"/>
        <w:spacing w:after="0"/>
      </w:pPr>
      <w:r w:rsidRPr="0078669E">
        <w:t>В конструкцию транспортных средств непрерывного действия должны входить необходимые ограждения, блокировки, сигнализация.</w:t>
      </w:r>
    </w:p>
    <w:p w:rsidR="00227D63" w:rsidRPr="0078669E" w:rsidRDefault="00227D63" w:rsidP="00227D63">
      <w:pPr>
        <w:pStyle w:val="justify"/>
        <w:spacing w:after="0"/>
      </w:pPr>
      <w:r w:rsidRPr="0078669E">
        <w:t>Конструкция транспортных средств непрерывного действия должна предусматривать систему сигнализации, а также систему автоматической остановки и отключения привода от источников энергии при аварийных ситуациях.</w:t>
      </w:r>
    </w:p>
    <w:p w:rsidR="00227D63" w:rsidRPr="0078669E" w:rsidRDefault="00227D63" w:rsidP="00227D63">
      <w:pPr>
        <w:pStyle w:val="justify"/>
        <w:spacing w:after="0"/>
      </w:pPr>
      <w:r w:rsidRPr="0078669E">
        <w:t>Органы управления транспортными средствами непрерывного действия должны быть безопасными и удобными, не требующими значительных усилий для работы, исключать возможность самопроизвольного включения и выключения оборудования.</w:t>
      </w:r>
    </w:p>
    <w:p w:rsidR="00E86561" w:rsidRPr="0078669E" w:rsidRDefault="00E86561" w:rsidP="00E86561">
      <w:pPr>
        <w:pStyle w:val="justify"/>
        <w:spacing w:after="0"/>
      </w:pPr>
      <w:r w:rsidRPr="0078669E">
        <w:t>Поверхности органов управления, предназначенных для действия в аварийных ситуациях, должны быть окрашены в красный цвет.</w:t>
      </w:r>
    </w:p>
    <w:p w:rsidR="00E86561" w:rsidRPr="0078669E" w:rsidRDefault="00E86561" w:rsidP="00E86561">
      <w:pPr>
        <w:pStyle w:val="justify"/>
        <w:spacing w:after="0"/>
      </w:pPr>
      <w:r w:rsidRPr="0078669E">
        <w:t>Части транспортных средств непрерывного действия, представляющие опасность для работников и которые по их функциональному назначению не могут быть закрыты кожухом, щитком и другим защитным приспособлением, должны быть окрашены в сигнальные цвета с установкой знаков безопасности.</w:t>
      </w:r>
    </w:p>
    <w:p w:rsidR="00E86561" w:rsidRPr="0078669E" w:rsidRDefault="00E86561" w:rsidP="00E86561">
      <w:pPr>
        <w:pStyle w:val="justify"/>
        <w:spacing w:after="0"/>
      </w:pPr>
      <w:r w:rsidRPr="0078669E">
        <w:t>Транспортные средства непрерывного действия, предназначенные для транспортирования мокрых грузов, должны быть закрыты кожухами или щитами в местах возможного брызгообразования.</w:t>
      </w:r>
    </w:p>
    <w:p w:rsidR="00427410" w:rsidRPr="0078669E" w:rsidRDefault="00427410" w:rsidP="00A0172C">
      <w:pPr>
        <w:pStyle w:val="justify"/>
        <w:spacing w:after="0"/>
      </w:pPr>
      <w:r w:rsidRPr="0078669E">
        <w:t>Средства защиты должны приводиться в готовность до начала работы транспортных средств непрерывного действия так, чтобы функционирование транспортных средств было невозможно при отключенных или неисправных средствах защиты. Системы защиты должны непрерывно выполнять свои функции, и их действие не должно прекращаться раньше, чем прекратится действие опасного или вредного производственного фактора.</w:t>
      </w:r>
    </w:p>
    <w:p w:rsidR="00427410" w:rsidRPr="0078669E" w:rsidRDefault="00427410" w:rsidP="00A0172C">
      <w:pPr>
        <w:pStyle w:val="justify"/>
        <w:spacing w:after="0"/>
      </w:pPr>
      <w:r w:rsidRPr="0078669E">
        <w:t>Отказ отдельных элементов средств защиты не должен прекращать защитного действия других средств или создавать какие-либо дополнительные опасности.</w:t>
      </w:r>
    </w:p>
    <w:p w:rsidR="00427410" w:rsidRPr="0078669E" w:rsidRDefault="00427410" w:rsidP="00A0172C">
      <w:pPr>
        <w:pStyle w:val="justify"/>
        <w:spacing w:after="0"/>
      </w:pPr>
      <w:r w:rsidRPr="0078669E">
        <w:t>Средства защиты должны быть доступны для обслуживания и контроля.</w:t>
      </w:r>
    </w:p>
    <w:p w:rsidR="00427410" w:rsidRPr="0078669E" w:rsidRDefault="00427410" w:rsidP="00A0172C">
      <w:pPr>
        <w:pStyle w:val="justify"/>
        <w:spacing w:after="0"/>
      </w:pPr>
      <w:r w:rsidRPr="0078669E">
        <w:t>Для предупреждения об опасности при работе транспортных средств непрерывного действия должна применяться звуковая и световая сигнализация, сигналы которой должны быть легко различимы в производственных условиях.</w:t>
      </w:r>
    </w:p>
    <w:p w:rsidR="00427410" w:rsidRPr="0078669E" w:rsidRDefault="00427410" w:rsidP="00A0172C">
      <w:pPr>
        <w:pStyle w:val="justify"/>
        <w:spacing w:after="0"/>
      </w:pPr>
      <w:r w:rsidRPr="0078669E">
        <w:t xml:space="preserve">У транспортных средств непрерывного действия, обеспечивающих транспортировку материалов на значительные расстояния, органы управления должны иметь возможность остановки этих транспортных средств из нескольких мест. При наличии нескольких </w:t>
      </w:r>
      <w:r w:rsidRPr="0078669E">
        <w:lastRenderedPageBreak/>
        <w:t>пусковых устройств должны исключаться несогласованный пуск и пуск оборудования без предварительной подачи звукового и светового сигналов.</w:t>
      </w:r>
    </w:p>
    <w:p w:rsidR="00427410" w:rsidRPr="0078669E" w:rsidRDefault="00427410" w:rsidP="00A0172C">
      <w:pPr>
        <w:pStyle w:val="justify"/>
        <w:spacing w:after="0"/>
      </w:pPr>
      <w:r w:rsidRPr="0078669E">
        <w:t xml:space="preserve">Для защиты работников от шума на оборудовании должна применяться звукоизоляция элементов и узлов с помощью </w:t>
      </w:r>
      <w:proofErr w:type="spellStart"/>
      <w:r w:rsidRPr="0078669E">
        <w:t>противошумных</w:t>
      </w:r>
      <w:proofErr w:type="spellEnd"/>
      <w:r w:rsidRPr="0078669E">
        <w:t xml:space="preserve"> устройств (кожухов, экранов и других).</w:t>
      </w:r>
    </w:p>
    <w:p w:rsidR="00427410" w:rsidRPr="0078669E" w:rsidRDefault="00427410" w:rsidP="00A0172C">
      <w:pPr>
        <w:pStyle w:val="justify"/>
        <w:spacing w:after="0"/>
      </w:pPr>
      <w:r w:rsidRPr="0078669E">
        <w:t>Вход в помещение с уровнем шума более 80 дБ должен быть обозначен знаком «Работать с применением средств защиты органов слуха».</w:t>
      </w:r>
    </w:p>
    <w:p w:rsidR="00427410" w:rsidRPr="0078669E" w:rsidRDefault="00427410" w:rsidP="00A0172C">
      <w:pPr>
        <w:pStyle w:val="justify"/>
        <w:spacing w:after="0"/>
      </w:pPr>
      <w:r w:rsidRPr="0078669E">
        <w:t>В зонах с уровнем звукового давления свыше 135 дБ в любой октавной полосе пребывание людей не допускается.</w:t>
      </w:r>
    </w:p>
    <w:p w:rsidR="00227D63" w:rsidRPr="0078669E" w:rsidRDefault="00227D63" w:rsidP="00227D63">
      <w:pPr>
        <w:pStyle w:val="justify"/>
        <w:spacing w:after="0"/>
      </w:pPr>
      <w:r w:rsidRPr="0078669E">
        <w:t>Электроустановки должны быть укомплектованы испытанными, готовыми к использованию защитными средствами, а также средствами оказания первой медицинской помощи.</w:t>
      </w:r>
    </w:p>
    <w:p w:rsidR="00227D63" w:rsidRPr="0078669E" w:rsidRDefault="00227D63" w:rsidP="00227D63">
      <w:pPr>
        <w:pStyle w:val="justify"/>
        <w:spacing w:after="0"/>
      </w:pPr>
      <w:r w:rsidRPr="0078669E">
        <w:t>Безопасность работников и других лиц при эксплуатации электроустановок обеспечивается путем:</w:t>
      </w:r>
    </w:p>
    <w:p w:rsidR="00227D63" w:rsidRPr="0078669E" w:rsidRDefault="00227D63" w:rsidP="00227D63">
      <w:pPr>
        <w:pStyle w:val="justify"/>
        <w:numPr>
          <w:ilvl w:val="0"/>
          <w:numId w:val="2"/>
        </w:numPr>
        <w:spacing w:after="0"/>
      </w:pPr>
      <w:r w:rsidRPr="0078669E">
        <w:t>применения надлежащей изоляции, в отдельных случаях - повышенной;</w:t>
      </w:r>
    </w:p>
    <w:p w:rsidR="00227D63" w:rsidRPr="0078669E" w:rsidRDefault="00227D63" w:rsidP="00227D63">
      <w:pPr>
        <w:pStyle w:val="justify"/>
        <w:numPr>
          <w:ilvl w:val="0"/>
          <w:numId w:val="2"/>
        </w:numPr>
        <w:spacing w:after="0"/>
      </w:pPr>
      <w:r w:rsidRPr="0078669E">
        <w:t>применения двойной изоляции;</w:t>
      </w:r>
    </w:p>
    <w:p w:rsidR="00227D63" w:rsidRPr="0078669E" w:rsidRDefault="00227D63" w:rsidP="00227D63">
      <w:pPr>
        <w:pStyle w:val="justify"/>
        <w:numPr>
          <w:ilvl w:val="0"/>
          <w:numId w:val="2"/>
        </w:numPr>
        <w:spacing w:after="0"/>
        <w:ind w:left="0" w:firstLine="567"/>
      </w:pPr>
      <w:r w:rsidRPr="0078669E">
        <w:t>соблюдения соответствующих расстояний до токоведущих частей или путем закрытия, ограждения токоведущих частей;</w:t>
      </w:r>
    </w:p>
    <w:p w:rsidR="00227D63" w:rsidRPr="0078669E" w:rsidRDefault="00227D63" w:rsidP="00227D63">
      <w:pPr>
        <w:pStyle w:val="justify"/>
        <w:numPr>
          <w:ilvl w:val="0"/>
          <w:numId w:val="2"/>
        </w:numPr>
        <w:spacing w:after="0"/>
      </w:pPr>
      <w:r w:rsidRPr="0078669E">
        <w:t>применения блокировки аппаратов и ограждающих устройств для предотвращения ошибочных операций и доступа к токоведущим частям;</w:t>
      </w:r>
    </w:p>
    <w:p w:rsidR="00227D63" w:rsidRPr="0078669E" w:rsidRDefault="00227D63" w:rsidP="00227D63">
      <w:pPr>
        <w:pStyle w:val="justify"/>
        <w:numPr>
          <w:ilvl w:val="0"/>
          <w:numId w:val="2"/>
        </w:numPr>
        <w:spacing w:after="0"/>
        <w:ind w:left="0" w:firstLine="567"/>
      </w:pPr>
      <w:r w:rsidRPr="0078669E">
        <w:t>надежного и быстродействующего автоматического отключения частей электрооборудования, случайно оказавшихся под напряжением, и поврежденных участков сети, в том числе защитного отключения;</w:t>
      </w:r>
    </w:p>
    <w:p w:rsidR="00227D63" w:rsidRPr="0078669E" w:rsidRDefault="00227D63" w:rsidP="00227D63">
      <w:pPr>
        <w:pStyle w:val="justify"/>
        <w:numPr>
          <w:ilvl w:val="0"/>
          <w:numId w:val="2"/>
        </w:numPr>
        <w:spacing w:after="0"/>
        <w:ind w:left="0" w:firstLine="567"/>
      </w:pPr>
      <w:r w:rsidRPr="0078669E">
        <w:t xml:space="preserve">заземления или </w:t>
      </w:r>
      <w:proofErr w:type="spellStart"/>
      <w:r w:rsidRPr="0078669E">
        <w:t>зануления</w:t>
      </w:r>
      <w:proofErr w:type="spellEnd"/>
      <w:r w:rsidRPr="0078669E">
        <w:t xml:space="preserve"> корпусов электрооборудования и элементов электроустановок, которые могут оказаться под напряжением вследствие повреждения изоляции;</w:t>
      </w:r>
    </w:p>
    <w:p w:rsidR="00227D63" w:rsidRPr="0078669E" w:rsidRDefault="00227D63" w:rsidP="00227D63">
      <w:pPr>
        <w:pStyle w:val="justify"/>
        <w:numPr>
          <w:ilvl w:val="0"/>
          <w:numId w:val="2"/>
        </w:numPr>
        <w:spacing w:after="0"/>
      </w:pPr>
      <w:r w:rsidRPr="0078669E">
        <w:t>выравнивания потенциалов;</w:t>
      </w:r>
    </w:p>
    <w:p w:rsidR="00227D63" w:rsidRPr="0078669E" w:rsidRDefault="00227D63" w:rsidP="00227D63">
      <w:pPr>
        <w:pStyle w:val="justify"/>
        <w:numPr>
          <w:ilvl w:val="0"/>
          <w:numId w:val="2"/>
        </w:numPr>
        <w:spacing w:after="0"/>
      </w:pPr>
      <w:r w:rsidRPr="0078669E">
        <w:t>применения разделительных трансформаторов;</w:t>
      </w:r>
    </w:p>
    <w:p w:rsidR="00227D63" w:rsidRPr="0078669E" w:rsidRDefault="00227D63" w:rsidP="00227D63">
      <w:pPr>
        <w:pStyle w:val="justify"/>
        <w:numPr>
          <w:ilvl w:val="0"/>
          <w:numId w:val="2"/>
        </w:numPr>
        <w:spacing w:after="0"/>
        <w:ind w:left="0" w:firstLine="567"/>
      </w:pPr>
      <w:r w:rsidRPr="0078669E">
        <w:t>применения напряжений 42 В и ниже переменного тока частотой 50 Гц и 110 В и ниже постоянного тока;</w:t>
      </w:r>
    </w:p>
    <w:p w:rsidR="00227D63" w:rsidRPr="0078669E" w:rsidRDefault="00227D63" w:rsidP="00227D63">
      <w:pPr>
        <w:pStyle w:val="justify"/>
        <w:numPr>
          <w:ilvl w:val="0"/>
          <w:numId w:val="2"/>
        </w:numPr>
        <w:spacing w:after="0"/>
      </w:pPr>
      <w:r w:rsidRPr="0078669E">
        <w:t>применения предупреждающей сигнализации, надписей и плакатов;</w:t>
      </w:r>
    </w:p>
    <w:p w:rsidR="00227D63" w:rsidRPr="0078669E" w:rsidRDefault="00227D63" w:rsidP="00227D63">
      <w:pPr>
        <w:pStyle w:val="justify"/>
        <w:numPr>
          <w:ilvl w:val="0"/>
          <w:numId w:val="2"/>
        </w:numPr>
        <w:spacing w:after="0"/>
      </w:pPr>
      <w:r w:rsidRPr="0078669E">
        <w:t>применения устройств, снижающих напряженность электрических полей;</w:t>
      </w:r>
    </w:p>
    <w:p w:rsidR="00227D63" w:rsidRPr="0078669E" w:rsidRDefault="00227D63" w:rsidP="00227D63">
      <w:pPr>
        <w:pStyle w:val="justify"/>
        <w:numPr>
          <w:ilvl w:val="0"/>
          <w:numId w:val="2"/>
        </w:numPr>
        <w:spacing w:after="0"/>
        <w:ind w:left="0" w:firstLine="567"/>
      </w:pPr>
      <w:r w:rsidRPr="0078669E">
        <w:t>использования средств защиты и приспособлений, в том числе для защиты от воздействия электрического поля в электроустановках, в которых его напряженность превышает допустимые нормы.</w:t>
      </w:r>
    </w:p>
    <w:p w:rsidR="00427410" w:rsidRPr="0078669E" w:rsidRDefault="00427410" w:rsidP="00A0172C">
      <w:pPr>
        <w:pStyle w:val="justify"/>
        <w:spacing w:after="0"/>
      </w:pPr>
      <w:r w:rsidRPr="0078669E">
        <w:t>Не допускается нахождение посторонних лиц на рабочих местах, предназначенных для эксплуатации, обслуживания и ремонта транспортных средств непрерывного действия.</w:t>
      </w:r>
    </w:p>
    <w:p w:rsidR="00E724FE" w:rsidRDefault="00E724FE" w:rsidP="00DE4C60">
      <w:pPr>
        <w:tabs>
          <w:tab w:val="left" w:pos="709"/>
        </w:tabs>
        <w:jc w:val="both"/>
        <w:rPr>
          <w:sz w:val="24"/>
          <w:szCs w:val="24"/>
        </w:rPr>
      </w:pP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отдела надзора за соблюдением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законодательства об охране труда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</w:p>
    <w:p w:rsidR="000E077B" w:rsidRPr="000E077B" w:rsidRDefault="000E077B" w:rsidP="000E077B">
      <w:pPr>
        <w:spacing w:line="240" w:lineRule="exact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инспекции труда</w:t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="0078669E">
        <w:rPr>
          <w:sz w:val="24"/>
          <w:szCs w:val="24"/>
        </w:rPr>
        <w:t>А.Н. Теремов</w:t>
      </w:r>
    </w:p>
    <w:sectPr w:rsidR="000E077B" w:rsidRPr="000E077B" w:rsidSect="0078669E">
      <w:pgSz w:w="11906" w:h="16838"/>
      <w:pgMar w:top="56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abstractNum w:abstractNumId="1">
    <w:nsid w:val="6E7F533C"/>
    <w:multiLevelType w:val="hybridMultilevel"/>
    <w:tmpl w:val="E5AEE9F6"/>
    <w:lvl w:ilvl="0" w:tplc="E688A6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95E"/>
    <w:rsid w:val="00084662"/>
    <w:rsid w:val="000E077B"/>
    <w:rsid w:val="00114E5B"/>
    <w:rsid w:val="001214CB"/>
    <w:rsid w:val="0017484B"/>
    <w:rsid w:val="00177420"/>
    <w:rsid w:val="001B7F2C"/>
    <w:rsid w:val="001E1C5C"/>
    <w:rsid w:val="001F6D80"/>
    <w:rsid w:val="00210CC7"/>
    <w:rsid w:val="002207FD"/>
    <w:rsid w:val="00227D63"/>
    <w:rsid w:val="003740ED"/>
    <w:rsid w:val="003C6F44"/>
    <w:rsid w:val="00427410"/>
    <w:rsid w:val="004310E8"/>
    <w:rsid w:val="00493E64"/>
    <w:rsid w:val="00496C64"/>
    <w:rsid w:val="004D195E"/>
    <w:rsid w:val="004E053C"/>
    <w:rsid w:val="005258C9"/>
    <w:rsid w:val="00545F40"/>
    <w:rsid w:val="005951DA"/>
    <w:rsid w:val="005B3193"/>
    <w:rsid w:val="0060241B"/>
    <w:rsid w:val="006B7B33"/>
    <w:rsid w:val="0078669E"/>
    <w:rsid w:val="00853222"/>
    <w:rsid w:val="008862A3"/>
    <w:rsid w:val="00950C4B"/>
    <w:rsid w:val="009953BD"/>
    <w:rsid w:val="009A46DB"/>
    <w:rsid w:val="009B3BD7"/>
    <w:rsid w:val="00A0172C"/>
    <w:rsid w:val="00AA59B4"/>
    <w:rsid w:val="00B051EF"/>
    <w:rsid w:val="00B136AF"/>
    <w:rsid w:val="00B32F0F"/>
    <w:rsid w:val="00BA15B2"/>
    <w:rsid w:val="00BD2CE4"/>
    <w:rsid w:val="00C20C2A"/>
    <w:rsid w:val="00DE4C60"/>
    <w:rsid w:val="00E6053F"/>
    <w:rsid w:val="00E724FE"/>
    <w:rsid w:val="00E86561"/>
    <w:rsid w:val="00E93F40"/>
    <w:rsid w:val="00F57A30"/>
    <w:rsid w:val="00F64F9E"/>
    <w:rsid w:val="00FB3906"/>
    <w:rsid w:val="00FD020D"/>
    <w:rsid w:val="00FD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F12E4-7A38-4359-96F3-BA33C1BC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justify">
    <w:name w:val="justify"/>
    <w:basedOn w:val="a"/>
    <w:rsid w:val="00E724FE"/>
    <w:pPr>
      <w:widowControl/>
      <w:autoSpaceDE/>
      <w:autoSpaceDN/>
      <w:spacing w:after="160"/>
      <w:ind w:firstLine="567"/>
      <w:jc w:val="both"/>
    </w:pPr>
    <w:rPr>
      <w:sz w:val="24"/>
      <w:szCs w:val="24"/>
      <w:lang w:bidi="ar-SA"/>
    </w:rPr>
  </w:style>
  <w:style w:type="paragraph" w:customStyle="1" w:styleId="y3">
    <w:name w:val="y3"/>
    <w:basedOn w:val="a"/>
    <w:rsid w:val="00DE4C60"/>
    <w:pPr>
      <w:widowControl/>
      <w:autoSpaceDE/>
      <w:autoSpaceDN/>
      <w:spacing w:before="400" w:after="400"/>
      <w:jc w:val="center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Буевич Леонид Вячеславович</cp:lastModifiedBy>
  <cp:revision>4</cp:revision>
  <cp:lastPrinted>2022-08-05T07:16:00Z</cp:lastPrinted>
  <dcterms:created xsi:type="dcterms:W3CDTF">2022-08-05T07:14:00Z</dcterms:created>
  <dcterms:modified xsi:type="dcterms:W3CDTF">2022-08-08T11:12:00Z</dcterms:modified>
</cp:coreProperties>
</file>