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2D0" w:rsidRPr="003002D0" w:rsidRDefault="003002D0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0" w:name="_Hlk173940424"/>
      <w:bookmarkStart w:id="1" w:name="_GoBack"/>
      <w:bookmarkEnd w:id="1"/>
      <w:r w:rsidRPr="003002D0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3002D0" w:rsidRPr="003002D0" w:rsidRDefault="003002D0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на основе информации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 xml:space="preserve">Национального статистического комитета Республики Беларусь,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 xml:space="preserve">Министерства образования Республики Беларусь,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Государственного комитета по науке и технологиям Республики Беларусь,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Национальной академии наук</w:t>
      </w:r>
      <w:r w:rsidRPr="003002D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Беларуси,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002D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материалов государственных СМИ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E27A8A" wp14:editId="7183C630">
            <wp:extent cx="3219450" cy="18111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72" cy="183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общества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государства в современных условиях является интеллектуальный потенциал человека. Мы наблюдаем все возрастающую роль человеческого капитала в развитии современной экономики. Человек с присущими ему способностями, знаниями и возможностью творчески и нестандартно решать поставленные задачи становится залогом успеха новых проектов. 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67571945" wp14:editId="13715365">
            <wp:simplePos x="0" y="0"/>
            <wp:positionH relativeFrom="column">
              <wp:posOffset>453390</wp:posOffset>
            </wp:positionH>
            <wp:positionV relativeFrom="paragraph">
              <wp:posOffset>299720</wp:posOffset>
            </wp:positionV>
            <wp:extent cx="3162300" cy="177927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2D0" w:rsidRPr="003002D0" w:rsidRDefault="003002D0" w:rsidP="003002D0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Национальная система образования – фактор экономического роста и благосостояния страны</w:t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Беларусь является государством, где реализуется принцип непрерывности образования 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), реализуется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>и гарантируется право на бесплатное получение образования.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990FAC" wp14:editId="73FB2C59">
            <wp:extent cx="3217334" cy="18097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7661" cy="18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 доступа к знаниям для всех слоев населения. Основой этой поддержки является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система бесплатного среднего образования и бюджетные места в учреждениях высшего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br/>
        <w:t>и среднего специального образования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05E13DB5" wp14:editId="2D090778">
            <wp:extent cx="3251200" cy="18288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1252" cy="184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 другим мерам государственной поддержки относятся стипендии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за счет средств республиканского или местных бюджетов, общежития, предоставляемые на время обучения. Ряд </w:t>
      </w:r>
      <w:proofErr w:type="gramStart"/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категорий</w:t>
      </w:r>
      <w:proofErr w:type="gramEnd"/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обучающихся получают также бесплатное горячее питание, бесплатные учебники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>и пособия, спецодежду и обувь на практике и стажировках.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Особое внимание уделяется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поддержке одаренных учащихся и студентов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Действует специальный фонд Президента Республики Беларусь по социальной поддержке одаренных учащихся и студентов, из средств которого 17 июля 2025 г. назначены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очередные стипендии 192 студентам УВО. Гранд-премий с присвоением звания лауреата специального фонда удостоены</w:t>
      </w:r>
      <w:r w:rsidR="00FA450F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3002D0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3002D0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3002D0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FA450F" w:rsidRPr="003002D0" w:rsidRDefault="00FA450F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</w:p>
    <w:p w:rsidR="003002D0" w:rsidRPr="003002D0" w:rsidRDefault="003002D0" w:rsidP="003002D0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Слайд 5.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4E7061B5" wp14:editId="486131CC">
            <wp:extent cx="3572933" cy="20097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6739" cy="201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</w:t>
      </w:r>
      <w:r w:rsidR="00F77311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сформирована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на подготовку кадров, объем и структуру подготовки, а также трудоустройство специалистов, рабочих, служащих, подготовленных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за счет бюджетных средств. Уместно будет отметить, что только наша страна на постсоветском пространстве сохранила систему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Это с завистью отмечают все соседи, потому что высококвалифицированных рабочих, толковых инженеров </w:t>
      </w:r>
      <w:r w:rsidR="00F77311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и головастых технологов не хватает нигде в мире.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Успехам в сфере образования способствует реализация требования нашего Президента о недопустимости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в ней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При этом это не отменяет необходимости системы оперативно реагировать на запросы времени, находясь в авангарде всего нового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прогрессивного. 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6.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3C03F2B" wp14:editId="11442938">
            <wp:extent cx="3629025" cy="20415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338" cy="205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по всемерному всестороннему формированию личности, как движущей силы развития общества и государства.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С 1 сентября начнут действовать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изменения, внесенные в Кодекс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об образовании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3002D0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В частности, внесены изменения в ЦЭ и итоговую аттестацию школьников; введен </w:t>
      </w: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новый порядок распределения, предусматривается больше гарантий для выпускников УВО и колледжей. Количество уроков по предмету «Физическая культура и здоровье» увеличивается с двух </w:t>
      </w: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br/>
        <w:t>до трех; в сельские школы возвращена программа по обучению вождению; упрощена организация подвоза школьников; закреплена обязанность для школьников придерживаться делового стиля одежды и др.</w:t>
      </w: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является перспективным направлением международного сотрудничества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укрепления гуманитарных связей. В последние годы белорусские учреждения образования активно развивают программы, направленные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на привлечение иностранных студентов, особенно из стран СНГ, Азии, Африки и Латинской Америки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УВО Республики Беларусь. Если в 2010 году в республике обучалось около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10 тыс. иностранных граждан, </w:t>
      </w:r>
      <w:r w:rsidRPr="003002D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на 1 января 2025 г. уже порядка 34 тыс.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3002D0" w:rsidRPr="003002D0" w:rsidRDefault="003002D0" w:rsidP="003002D0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за рубежом.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 образования, сделать их менее зависимыми от государственного финансирования.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являются примером народной дипломатии, способствующей развитию взаимопонимания между народами.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40-е место из 193 стран (2023 г. – 57-е место из 207 стран).</w:t>
      </w:r>
    </w:p>
    <w:p w:rsidR="003002D0" w:rsidRPr="003002D0" w:rsidRDefault="003002D0" w:rsidP="003002D0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Беларусь – страна, в которой развивается целая индустрия интеллекта, для которой создан научный ландшафт. Сформирована междисциплинарная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центры. Все это обеспечивает получение новейших результатов мирового уровня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и наукоемкой продукции, решает задачи научно-технологического суверенитета,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импортозамещения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и наращивания экспорта.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В Беларуси утверждены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на 2026-2030 годы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Это цифровые технологии и искусственный интеллект, инновационные технологии в промышленности, биологические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медицинские технологии, инновационные технологии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в агропромышленном комплексе и пищевой промышленности, научное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научно-техническое обеспечение безопасности человека, общества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государства.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3002D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кадровым научным потенциалом</w:t>
      </w: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7.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EDFF97" wp14:editId="0B73312E">
            <wp:extent cx="3524250" cy="19823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8130" cy="19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молодой ученый в возрасте до 35 лет.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 xml:space="preserve">система стимулирования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br/>
        <w:t>и привлечения в научную сферу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 Республики Беларусь аспирантам;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студентов;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конкурс на выполнение фундаментальных научных исследований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и поисковых научных исследований совместно научными группами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br/>
        <w:t>под руководством молодых ученых Беларуси и России и др.</w:t>
      </w: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br/>
        <w:t>300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Приведем некоторые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 xml:space="preserve">примеры инновационных производств, разработки которых были внедрены в реальный сектор </w:t>
      </w:r>
      <w:r w:rsidR="00F77311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по состоянию на июль 2025 г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по выпуску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</w:t>
      </w: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>поколения, а также прецизионных оптических элементов лазерного качества.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тяжеловоза грузоподъемностью 150 т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с двигателем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» с центральным приводом и передним ведущим мостом увеличенной грузоподъемности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 ОАО «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Разработан ассортимент и освоена технология производства новых видов продуктов мясных и из мяса птицы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фактический выпуск импортозамещающей продукции и услуг по разработкам НАН Беларуси, внедренным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br/>
        <w:t>в экономику, составляет порядка 335 млн долларов США в год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3002D0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, которые активно содействуют усилению интеграционных процессов между учреждениями образования и инновационными предприятиями </w:t>
      </w: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br/>
        <w:t>в производственной, кадровой, научно-исследовательской сферах.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14 технопарков, расположенных во всех регионах страны: по одному в Брестской, Гомельской и Гродненской областях, по два в Минской и Могилевской областях, три в Витебской области и четыре в </w:t>
      </w:r>
      <w:proofErr w:type="spellStart"/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3002D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3002D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более 1 млрд рублей, что в три раза больше, чем было зафиксировано в 2021 году – 320,3 млн рублей. 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>на экспорт продукции на 459,6 млн рублей (в 2021 году – 137,9 млн рублей).</w:t>
      </w:r>
    </w:p>
    <w:p w:rsidR="003002D0" w:rsidRPr="003002D0" w:rsidRDefault="003002D0" w:rsidP="003002D0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 Беларуси проводится системная работа по развитию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. Основные усилия государства направлены на углубление взаимодействия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в Союзном государстве, ЕАЭС, СНГ и со странами дальней дуги.</w:t>
      </w:r>
    </w:p>
    <w:p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Белорусские ученые сотрудничают с коллегами со всего мира. </w:t>
      </w:r>
    </w:p>
    <w:p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В их числе Китай, Индия, Турция, Венесуэла, Сингапур и многие другие.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Только на базе организаций НАН Беларуси действует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33 международных исследовательских центра с организациями России, Китая, Вьетнама, Турции, ЮАР и др.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Одним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Федерацией. Союзные программы и проекты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уже доказали свою успешность. Значимые результаты получены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в области космоса, микроэлектроники, медицины, агропромышленных технологий и по другим направлениям.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 программы Союзного государства: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3002D0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3002D0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т.ч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>. управления двигателем, бортовой безопасности, роботизированного управления, высокоэффективных электродвигателей и</w:t>
      </w:r>
      <w:r w:rsidR="00F7731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других </w:t>
      </w:r>
      <w:r w:rsidR="00F77311" w:rsidRPr="003002D0">
        <w:rPr>
          <w:rFonts w:ascii="Times New Roman" w:eastAsia="Calibri" w:hAnsi="Times New Roman" w:cs="Times New Roman"/>
          <w:sz w:val="30"/>
          <w:szCs w:val="30"/>
        </w:rPr>
        <w:t>компонентов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для электрического и гибридного транспорта;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производства медицинской техники;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рейтинге достижения Целей устойчивого развития Беларусь заняла 32-е место среди 167 стран согласно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Беларусь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lastRenderedPageBreak/>
        <w:t>принадлежит к категории стран с очень высоким уровнем человеческого развития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****</w:t>
      </w:r>
    </w:p>
    <w:p w:rsidR="003002D0" w:rsidRPr="003002D0" w:rsidRDefault="003002D0" w:rsidP="003002D0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8.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D3265C9" wp14:editId="7177B312">
            <wp:extent cx="3590925" cy="2019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8872" cy="20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</w:t>
      </w:r>
      <w:r w:rsidR="00FA450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br/>
      </w: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без реальных достижений в научной сфере движение вперед невозможно»</w:t>
      </w:r>
      <w:r w:rsidRPr="003002D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3002D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3002D0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Национальной академии наук Беларуси.</w:t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CB5FEC" w:rsidRDefault="003002D0" w:rsidP="00774F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81DBEB0" wp14:editId="4829373C">
            <wp:extent cx="3505200" cy="1971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9168" cy="20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5FEC" w:rsidSect="00FA450F">
      <w:headerReference w:type="default" r:id="rId17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FD" w:rsidRDefault="00ED7FFD" w:rsidP="00CB5FEC">
      <w:pPr>
        <w:spacing w:after="0" w:line="240" w:lineRule="auto"/>
      </w:pPr>
      <w:r>
        <w:separator/>
      </w:r>
    </w:p>
  </w:endnote>
  <w:endnote w:type="continuationSeparator" w:id="0">
    <w:p w:rsidR="00ED7FFD" w:rsidRDefault="00ED7FFD" w:rsidP="00CB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FD" w:rsidRDefault="00ED7FFD" w:rsidP="00CB5FEC">
      <w:pPr>
        <w:spacing w:after="0" w:line="240" w:lineRule="auto"/>
      </w:pPr>
      <w:r>
        <w:separator/>
      </w:r>
    </w:p>
  </w:footnote>
  <w:footnote w:type="continuationSeparator" w:id="0">
    <w:p w:rsidR="00ED7FFD" w:rsidRDefault="00ED7FFD" w:rsidP="00CB5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2870987"/>
      <w:docPartObj>
        <w:docPartGallery w:val="Page Numbers (Top of Page)"/>
        <w:docPartUnique/>
      </w:docPartObj>
    </w:sdtPr>
    <w:sdtEndPr/>
    <w:sdtContent>
      <w:p w:rsidR="003002D0" w:rsidRDefault="003002D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CEA">
          <w:rPr>
            <w:noProof/>
          </w:rPr>
          <w:t>9</w:t>
        </w:r>
        <w:r>
          <w:fldChar w:fldCharType="end"/>
        </w:r>
      </w:p>
    </w:sdtContent>
  </w:sdt>
  <w:p w:rsidR="003002D0" w:rsidRDefault="003002D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3E"/>
    <w:rsid w:val="00096D58"/>
    <w:rsid w:val="00140CEA"/>
    <w:rsid w:val="001853B4"/>
    <w:rsid w:val="001D5C25"/>
    <w:rsid w:val="003002D0"/>
    <w:rsid w:val="0036541C"/>
    <w:rsid w:val="00442586"/>
    <w:rsid w:val="006D0760"/>
    <w:rsid w:val="00774F70"/>
    <w:rsid w:val="00820E3E"/>
    <w:rsid w:val="00826E73"/>
    <w:rsid w:val="008716FA"/>
    <w:rsid w:val="008E4F50"/>
    <w:rsid w:val="00AE6413"/>
    <w:rsid w:val="00CB5FEC"/>
    <w:rsid w:val="00ED7FFD"/>
    <w:rsid w:val="00F77311"/>
    <w:rsid w:val="00FA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9305E-4739-46EA-993C-20FD6295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20E3E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0E3E"/>
    <w:pPr>
      <w:ind w:left="720"/>
      <w:contextualSpacing/>
    </w:pPr>
  </w:style>
  <w:style w:type="table" w:styleId="a3">
    <w:name w:val="Table Grid"/>
    <w:basedOn w:val="a1"/>
    <w:uiPriority w:val="39"/>
    <w:rsid w:val="0082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FEC"/>
  </w:style>
  <w:style w:type="paragraph" w:styleId="a7">
    <w:name w:val="footer"/>
    <w:basedOn w:val="a"/>
    <w:link w:val="a8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A05F2-01FB-4D80-98DB-2E40A188A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2168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Буевич Леонид Вячеславович</cp:lastModifiedBy>
  <cp:revision>5</cp:revision>
  <dcterms:created xsi:type="dcterms:W3CDTF">2025-08-18T05:25:00Z</dcterms:created>
  <dcterms:modified xsi:type="dcterms:W3CDTF">2025-08-19T09:01:00Z</dcterms:modified>
</cp:coreProperties>
</file>